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93" w:rsidRDefault="00E60E9B" w:rsidP="0088119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lang w:val="ro-RO"/>
        </w:rPr>
      </w:pPr>
      <w:r w:rsidRPr="00E60E9B">
        <w:rPr>
          <w:rFonts w:asciiTheme="majorHAnsi" w:hAnsiTheme="majorHAnsi" w:cstheme="majorHAnsi"/>
          <w:b/>
          <w:bCs/>
          <w:color w:val="000000"/>
          <w:sz w:val="28"/>
          <w:szCs w:val="28"/>
          <w:lang w:val="ro-RO"/>
        </w:rPr>
        <w:t>Adresa informare furnizori pentru instiintarea consumatorilor</w:t>
      </w:r>
      <w:bookmarkStart w:id="0" w:name="_GoBack"/>
      <w:bookmarkEnd w:id="0"/>
    </w:p>
    <w:p w:rsidR="00E60E9B" w:rsidRPr="00881193" w:rsidRDefault="00E60E9B" w:rsidP="0088119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2"/>
          <w:lang w:val="ro-RO"/>
        </w:rPr>
      </w:pPr>
    </w:p>
    <w:p w:rsidR="00881193" w:rsidRPr="003D74D4" w:rsidRDefault="00881193" w:rsidP="0088119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noProof/>
          <w:szCs w:val="20"/>
          <w:lang w:val="ro-RO"/>
        </w:rPr>
      </w:pPr>
      <w:r w:rsidRPr="003D74D4">
        <w:rPr>
          <w:rFonts w:cstheme="minorHAnsi"/>
          <w:b/>
          <w:bCs/>
          <w:noProof/>
          <w:szCs w:val="20"/>
          <w:lang w:val="ro-RO"/>
        </w:rPr>
        <w:t xml:space="preserve">Nerespectarea zonelor de protecţie </w:t>
      </w:r>
      <w:r w:rsidRPr="003D74D4">
        <w:rPr>
          <w:rFonts w:cstheme="minorHAnsi"/>
          <w:b/>
          <w:noProof/>
          <w:szCs w:val="20"/>
          <w:lang w:val="ro-RO"/>
        </w:rPr>
        <w:t>şi</w:t>
      </w:r>
      <w:r w:rsidRPr="003D74D4">
        <w:rPr>
          <w:rFonts w:cstheme="minorHAnsi"/>
          <w:b/>
          <w:bCs/>
          <w:noProof/>
          <w:szCs w:val="20"/>
          <w:lang w:val="ro-RO"/>
        </w:rPr>
        <w:t xml:space="preserve"> de siguranţă prezintă riscuri pentru siguranţa persoanelor şi a bunurilor din apropierea instalațiilor electrice. </w:t>
      </w:r>
    </w:p>
    <w:p w:rsidR="00881193" w:rsidRPr="003D74D4" w:rsidRDefault="00881193" w:rsidP="0088119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noProof/>
          <w:szCs w:val="20"/>
          <w:lang w:val="ro-RO"/>
        </w:rPr>
      </w:pPr>
      <w:r w:rsidRPr="003D74D4">
        <w:rPr>
          <w:rFonts w:cstheme="minorHAnsi"/>
          <w:bCs/>
          <w:noProof/>
          <w:szCs w:val="20"/>
          <w:lang w:val="ro-RO"/>
        </w:rPr>
        <w:t>Acestea pot pune în pericol viața</w:t>
      </w:r>
      <w:r w:rsidRPr="003D74D4">
        <w:rPr>
          <w:rFonts w:cstheme="minorHAnsi"/>
          <w:noProof/>
          <w:szCs w:val="20"/>
          <w:lang w:val="ro-RO"/>
        </w:rPr>
        <w:t xml:space="preserve"> sau integritatea fizică a persoanelor şi/sau a bunurilor din</w:t>
      </w:r>
      <w:r w:rsidRPr="003D74D4">
        <w:rPr>
          <w:rFonts w:cstheme="minorHAnsi"/>
          <w:b/>
          <w:bCs/>
          <w:noProof/>
          <w:szCs w:val="20"/>
          <w:lang w:val="ro-RO"/>
        </w:rPr>
        <w:t xml:space="preserve"> </w:t>
      </w:r>
      <w:r w:rsidRPr="003D74D4">
        <w:rPr>
          <w:rFonts w:cstheme="minorHAnsi"/>
          <w:noProof/>
          <w:szCs w:val="20"/>
          <w:lang w:val="ro-RO"/>
        </w:rPr>
        <w:t xml:space="preserve">apropiere, prin: </w:t>
      </w:r>
    </w:p>
    <w:p w:rsidR="00881193" w:rsidRPr="003D74D4" w:rsidRDefault="00881193" w:rsidP="008811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  <w:r w:rsidRPr="003D74D4">
        <w:rPr>
          <w:rFonts w:cstheme="minorHAnsi"/>
          <w:noProof/>
          <w:szCs w:val="20"/>
          <w:lang w:val="ro-RO"/>
        </w:rPr>
        <w:t>explozii/incendii ale componentelor instalațiilor electrice;</w:t>
      </w:r>
    </w:p>
    <w:p w:rsidR="00881193" w:rsidRPr="003D74D4" w:rsidRDefault="00881193" w:rsidP="008811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  <w:r w:rsidRPr="003D74D4">
        <w:rPr>
          <w:rFonts w:cstheme="minorHAnsi"/>
          <w:noProof/>
          <w:szCs w:val="20"/>
          <w:lang w:val="ro-RO"/>
        </w:rPr>
        <w:t>emisii nocive</w:t>
      </w:r>
      <w:r w:rsidRPr="003D74D4">
        <w:rPr>
          <w:rFonts w:cstheme="minorHAnsi"/>
          <w:b/>
          <w:bCs/>
          <w:noProof/>
          <w:szCs w:val="20"/>
          <w:lang w:val="ro-RO"/>
        </w:rPr>
        <w:t xml:space="preserve"> </w:t>
      </w:r>
      <w:r w:rsidRPr="003D74D4">
        <w:rPr>
          <w:rFonts w:cstheme="minorHAnsi"/>
          <w:noProof/>
          <w:szCs w:val="20"/>
          <w:lang w:val="ro-RO"/>
        </w:rPr>
        <w:t xml:space="preserve">de gaze, lichide, vapori, pulberi, aerosoli, radiaţii, electricitate statică; </w:t>
      </w:r>
    </w:p>
    <w:p w:rsidR="00881193" w:rsidRPr="003D74D4" w:rsidRDefault="00881193" w:rsidP="008811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  <w:r w:rsidRPr="003D74D4">
        <w:rPr>
          <w:rFonts w:cstheme="minorHAnsi"/>
          <w:noProof/>
          <w:szCs w:val="20"/>
          <w:lang w:val="ro-RO"/>
        </w:rPr>
        <w:t>ruperea</w:t>
      </w:r>
      <w:r w:rsidRPr="003D74D4">
        <w:rPr>
          <w:rFonts w:cstheme="minorHAnsi"/>
          <w:b/>
          <w:bCs/>
          <w:noProof/>
          <w:szCs w:val="20"/>
          <w:lang w:val="ro-RO"/>
        </w:rPr>
        <w:t xml:space="preserve"> </w:t>
      </w:r>
      <w:r w:rsidRPr="003D74D4">
        <w:rPr>
          <w:rFonts w:cstheme="minorHAnsi"/>
          <w:noProof/>
          <w:szCs w:val="20"/>
          <w:lang w:val="ro-RO"/>
        </w:rPr>
        <w:t xml:space="preserve">unor căi de curent care poate duce la electrocutare; </w:t>
      </w:r>
    </w:p>
    <w:p w:rsidR="00881193" w:rsidRPr="003D74D4" w:rsidRDefault="00881193" w:rsidP="008811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  <w:r w:rsidRPr="003D74D4">
        <w:rPr>
          <w:rFonts w:cstheme="minorHAnsi"/>
          <w:noProof/>
          <w:szCs w:val="20"/>
          <w:lang w:val="ro-RO"/>
        </w:rPr>
        <w:t>răspândirea de reziduuri</w:t>
      </w:r>
      <w:r w:rsidRPr="003D74D4">
        <w:rPr>
          <w:rFonts w:cstheme="minorHAnsi"/>
          <w:b/>
          <w:bCs/>
          <w:noProof/>
          <w:szCs w:val="20"/>
          <w:lang w:val="ro-RO"/>
        </w:rPr>
        <w:t xml:space="preserve"> </w:t>
      </w:r>
      <w:r w:rsidRPr="003D74D4">
        <w:rPr>
          <w:rFonts w:cstheme="minorHAnsi"/>
          <w:noProof/>
          <w:szCs w:val="20"/>
          <w:lang w:val="ro-RO"/>
        </w:rPr>
        <w:t xml:space="preserve">nocive (cenuşă, ape poluante, gaze de ardere); </w:t>
      </w:r>
    </w:p>
    <w:p w:rsidR="00881193" w:rsidRPr="003D74D4" w:rsidRDefault="00881193" w:rsidP="008811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  <w:r w:rsidRPr="003D74D4">
        <w:rPr>
          <w:rFonts w:cstheme="minorHAnsi"/>
          <w:noProof/>
          <w:szCs w:val="20"/>
          <w:lang w:val="ro-RO"/>
        </w:rPr>
        <w:t>ruperea şi/sau proiectarea la</w:t>
      </w:r>
      <w:r w:rsidRPr="003D74D4">
        <w:rPr>
          <w:rFonts w:cstheme="minorHAnsi"/>
          <w:b/>
          <w:bCs/>
          <w:noProof/>
          <w:szCs w:val="20"/>
          <w:lang w:val="ro-RO"/>
        </w:rPr>
        <w:t xml:space="preserve"> </w:t>
      </w:r>
      <w:r w:rsidRPr="003D74D4">
        <w:rPr>
          <w:rFonts w:cstheme="minorHAnsi"/>
          <w:noProof/>
          <w:szCs w:val="20"/>
          <w:lang w:val="ro-RO"/>
        </w:rPr>
        <w:t>distanţă a unor părţi de construcţii sau instalaţii;</w:t>
      </w:r>
    </w:p>
    <w:p w:rsidR="00881193" w:rsidRPr="003D74D4" w:rsidRDefault="00881193" w:rsidP="008811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  <w:r w:rsidRPr="003D74D4">
        <w:rPr>
          <w:rFonts w:cstheme="minorHAnsi"/>
          <w:noProof/>
          <w:szCs w:val="20"/>
          <w:lang w:val="ro-RO"/>
        </w:rPr>
        <w:t xml:space="preserve">zgomot peste limitele admise; </w:t>
      </w:r>
    </w:p>
    <w:p w:rsidR="00881193" w:rsidRPr="003D74D4" w:rsidRDefault="00881193" w:rsidP="008811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  <w:r w:rsidRPr="003D74D4">
        <w:rPr>
          <w:rFonts w:cstheme="minorHAnsi"/>
          <w:noProof/>
          <w:szCs w:val="20"/>
          <w:lang w:val="ro-RO"/>
        </w:rPr>
        <w:t>accidente sau avarii la construcţiile energetice.</w:t>
      </w:r>
    </w:p>
    <w:p w:rsidR="00881193" w:rsidRPr="003D74D4" w:rsidRDefault="00881193" w:rsidP="00881193">
      <w:p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</w:p>
    <w:p w:rsidR="00881193" w:rsidRPr="003D74D4" w:rsidRDefault="00881193" w:rsidP="00881193">
      <w:p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  <w:r w:rsidRPr="003D74D4">
        <w:rPr>
          <w:rFonts w:cstheme="minorHAnsi"/>
          <w:noProof/>
          <w:szCs w:val="20"/>
          <w:lang w:val="ro-RO"/>
        </w:rPr>
        <w:t>Totodată, conform legislației în vigoare</w:t>
      </w:r>
      <w:r w:rsidRPr="003D74D4">
        <w:rPr>
          <w:rStyle w:val="EndnoteReference"/>
          <w:rFonts w:cstheme="minorHAnsi"/>
          <w:noProof/>
          <w:szCs w:val="20"/>
          <w:lang w:val="ro-RO"/>
        </w:rPr>
        <w:endnoteReference w:id="1"/>
      </w:r>
      <w:r w:rsidRPr="003D74D4">
        <w:rPr>
          <w:rFonts w:cstheme="minorHAnsi"/>
          <w:noProof/>
          <w:szCs w:val="20"/>
          <w:lang w:val="ro-RO"/>
        </w:rPr>
        <w:t xml:space="preserve"> este interzisă înființarea culturilor sau plantațiilor în zona de siguranță a rețelelor electrice de distribuție fără acordul operatorului de rețea.</w:t>
      </w:r>
    </w:p>
    <w:p w:rsidR="00881193" w:rsidRPr="003D74D4" w:rsidRDefault="00881193" w:rsidP="00881193">
      <w:p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  <w:r w:rsidRPr="003D74D4">
        <w:rPr>
          <w:rFonts w:cstheme="minorHAnsi"/>
          <w:noProof/>
          <w:szCs w:val="20"/>
          <w:lang w:val="ro-RO"/>
        </w:rPr>
        <w:t>Subliniem faptul că împiedicarea reprezentanților operatorului de rețea de a executa defrișarea ori decoronarea vegetației pentru crearea şi menţinerea distanţei regulamentare faţă de reţelele electrice constituie contravenție</w:t>
      </w:r>
      <w:r w:rsidRPr="003D74D4">
        <w:rPr>
          <w:rStyle w:val="EndnoteReference"/>
          <w:rFonts w:cstheme="minorHAnsi"/>
          <w:noProof/>
          <w:szCs w:val="20"/>
          <w:lang w:val="ro-RO"/>
        </w:rPr>
        <w:endnoteReference w:id="2"/>
      </w:r>
      <w:r w:rsidRPr="003D74D4">
        <w:rPr>
          <w:rFonts w:cstheme="minorHAnsi"/>
          <w:noProof/>
          <w:szCs w:val="20"/>
          <w:lang w:val="ro-RO"/>
        </w:rPr>
        <w:t xml:space="preserve">  și se sancționează cu amendă.</w:t>
      </w:r>
    </w:p>
    <w:p w:rsidR="00881193" w:rsidRPr="003D74D4" w:rsidRDefault="00881193" w:rsidP="00881193">
      <w:pPr>
        <w:autoSpaceDE w:val="0"/>
        <w:autoSpaceDN w:val="0"/>
        <w:adjustRightInd w:val="0"/>
        <w:spacing w:line="240" w:lineRule="auto"/>
        <w:rPr>
          <w:rFonts w:cstheme="minorHAnsi"/>
          <w:noProof/>
          <w:szCs w:val="20"/>
          <w:lang w:val="ro-RO"/>
        </w:rPr>
      </w:pPr>
    </w:p>
    <w:p w:rsidR="00881193" w:rsidRPr="003D74D4" w:rsidRDefault="00881193" w:rsidP="00881193">
      <w:pPr>
        <w:pStyle w:val="Heading3"/>
        <w:ind w:left="15"/>
        <w:rPr>
          <w:rFonts w:ascii="Arial" w:eastAsia="Times New Roman" w:hAnsi="Arial" w:cs="Arial"/>
          <w:noProof/>
          <w:color w:val="008D37"/>
          <w:sz w:val="24"/>
          <w:szCs w:val="24"/>
          <w:lang w:val="ro-RO"/>
        </w:rPr>
      </w:pPr>
      <w:r w:rsidRPr="003D74D4">
        <w:rPr>
          <w:rFonts w:ascii="Arial" w:eastAsia="Times New Roman" w:hAnsi="Arial" w:cs="Arial"/>
          <w:noProof/>
          <w:color w:val="008D37"/>
          <w:szCs w:val="20"/>
          <w:lang w:val="ro-RO"/>
        </w:rPr>
        <w:t>Sunt interzise următoarele acțiuni în imediata vecinătate a rețelelor electrice aeriene:</w:t>
      </w:r>
    </w:p>
    <w:p w:rsidR="00881193" w:rsidRPr="003D74D4" w:rsidRDefault="00881193" w:rsidP="00881193">
      <w:pPr>
        <w:numPr>
          <w:ilvl w:val="0"/>
          <w:numId w:val="4"/>
        </w:numPr>
        <w:spacing w:line="240" w:lineRule="auto"/>
        <w:ind w:left="714" w:hanging="357"/>
        <w:rPr>
          <w:rFonts w:eastAsia="Times New Roman" w:cstheme="minorHAnsi"/>
          <w:noProof/>
          <w:szCs w:val="20"/>
          <w:lang w:val="ro-RO"/>
        </w:rPr>
      </w:pPr>
      <w:r w:rsidRPr="003D74D4">
        <w:rPr>
          <w:rFonts w:eastAsia="Times New Roman" w:cstheme="minorHAnsi"/>
          <w:noProof/>
          <w:szCs w:val="20"/>
          <w:lang w:val="ro-RO"/>
        </w:rPr>
        <w:t>tăierea sau tunderea pomilor fără acordul operatorului de rețea;</w:t>
      </w:r>
    </w:p>
    <w:p w:rsidR="00881193" w:rsidRPr="003D74D4" w:rsidRDefault="00881193" w:rsidP="00881193">
      <w:pPr>
        <w:numPr>
          <w:ilvl w:val="0"/>
          <w:numId w:val="4"/>
        </w:numPr>
        <w:spacing w:line="240" w:lineRule="auto"/>
        <w:ind w:left="714" w:hanging="357"/>
        <w:rPr>
          <w:rFonts w:eastAsia="Times New Roman" w:cstheme="minorHAnsi"/>
          <w:noProof/>
          <w:szCs w:val="20"/>
          <w:lang w:val="ro-RO"/>
        </w:rPr>
      </w:pPr>
      <w:r w:rsidRPr="003D74D4">
        <w:rPr>
          <w:rFonts w:eastAsia="Times New Roman" w:cstheme="minorHAnsi"/>
          <w:noProof/>
          <w:szCs w:val="20"/>
          <w:lang w:val="ro-RO"/>
        </w:rPr>
        <w:t>parcarea utilajelor și mașinilor agricole sau depozitarea materialelor;</w:t>
      </w:r>
    </w:p>
    <w:p w:rsidR="00881193" w:rsidRPr="003D74D4" w:rsidRDefault="00881193" w:rsidP="00881193">
      <w:pPr>
        <w:numPr>
          <w:ilvl w:val="0"/>
          <w:numId w:val="4"/>
        </w:numPr>
        <w:spacing w:line="240" w:lineRule="auto"/>
        <w:ind w:left="714" w:hanging="357"/>
        <w:rPr>
          <w:rFonts w:eastAsia="Times New Roman" w:cstheme="minorHAnsi"/>
          <w:noProof/>
          <w:szCs w:val="20"/>
          <w:lang w:val="ro-RO"/>
        </w:rPr>
      </w:pPr>
      <w:r w:rsidRPr="003D74D4">
        <w:rPr>
          <w:rFonts w:eastAsia="Times New Roman" w:cstheme="minorHAnsi"/>
          <w:noProof/>
          <w:szCs w:val="20"/>
          <w:lang w:val="ro-RO"/>
        </w:rPr>
        <w:t>realizarea unor construcții improvizate sau forarea puțurilor de apă;</w:t>
      </w:r>
    </w:p>
    <w:p w:rsidR="00881193" w:rsidRPr="003D74D4" w:rsidRDefault="00881193" w:rsidP="00881193">
      <w:pPr>
        <w:numPr>
          <w:ilvl w:val="0"/>
          <w:numId w:val="4"/>
        </w:numPr>
        <w:spacing w:line="240" w:lineRule="auto"/>
        <w:ind w:left="714" w:hanging="357"/>
        <w:rPr>
          <w:rFonts w:eastAsia="Times New Roman" w:cstheme="minorHAnsi"/>
          <w:noProof/>
          <w:szCs w:val="20"/>
          <w:lang w:val="ro-RO"/>
        </w:rPr>
      </w:pPr>
      <w:r w:rsidRPr="003D74D4">
        <w:rPr>
          <w:rFonts w:eastAsia="Times New Roman" w:cstheme="minorHAnsi"/>
          <w:noProof/>
          <w:szCs w:val="20"/>
          <w:lang w:val="ro-RO"/>
        </w:rPr>
        <w:t>organizarea unor întruniri sau jocuri sportive;</w:t>
      </w:r>
    </w:p>
    <w:p w:rsidR="00881193" w:rsidRPr="003D74D4" w:rsidRDefault="00881193" w:rsidP="00881193">
      <w:pPr>
        <w:numPr>
          <w:ilvl w:val="0"/>
          <w:numId w:val="4"/>
        </w:numPr>
        <w:spacing w:line="240" w:lineRule="auto"/>
        <w:ind w:left="714" w:hanging="357"/>
        <w:rPr>
          <w:rFonts w:eastAsia="Times New Roman" w:cstheme="minorHAnsi"/>
          <w:noProof/>
          <w:szCs w:val="20"/>
          <w:lang w:val="ro-RO"/>
        </w:rPr>
      </w:pPr>
      <w:r w:rsidRPr="003D74D4">
        <w:rPr>
          <w:rFonts w:eastAsia="Times New Roman" w:cstheme="minorHAnsi"/>
          <w:noProof/>
          <w:szCs w:val="20"/>
          <w:lang w:val="ro-RO"/>
        </w:rPr>
        <w:t>incendierea miriștilor, a vegetației uscate și a resturilor vegetale de pe terenuri agricole;</w:t>
      </w:r>
    </w:p>
    <w:p w:rsidR="00881193" w:rsidRPr="003D74D4" w:rsidRDefault="00881193" w:rsidP="00881193">
      <w:pPr>
        <w:numPr>
          <w:ilvl w:val="0"/>
          <w:numId w:val="4"/>
        </w:numPr>
        <w:spacing w:line="240" w:lineRule="auto"/>
        <w:ind w:left="714" w:hanging="357"/>
        <w:rPr>
          <w:rFonts w:eastAsia="Times New Roman" w:cstheme="minorHAnsi"/>
          <w:noProof/>
          <w:szCs w:val="20"/>
          <w:lang w:val="ro-RO"/>
        </w:rPr>
      </w:pPr>
      <w:r w:rsidRPr="003D74D4">
        <w:rPr>
          <w:rFonts w:eastAsia="Times New Roman" w:cstheme="minorHAnsi"/>
          <w:noProof/>
          <w:szCs w:val="20"/>
          <w:lang w:val="ro-RO"/>
        </w:rPr>
        <w:t>pescuirea în locuri care nu sunt special amenajate;</w:t>
      </w:r>
    </w:p>
    <w:p w:rsidR="00881193" w:rsidRPr="003D74D4" w:rsidRDefault="00881193" w:rsidP="00881193">
      <w:pPr>
        <w:numPr>
          <w:ilvl w:val="0"/>
          <w:numId w:val="4"/>
        </w:numPr>
        <w:spacing w:line="240" w:lineRule="auto"/>
        <w:ind w:left="714" w:hanging="357"/>
        <w:rPr>
          <w:rFonts w:eastAsia="Times New Roman" w:cstheme="minorHAnsi"/>
          <w:noProof/>
          <w:szCs w:val="20"/>
          <w:lang w:val="ro-RO"/>
        </w:rPr>
      </w:pPr>
      <w:r w:rsidRPr="003D74D4">
        <w:rPr>
          <w:rFonts w:eastAsia="Times New Roman" w:cstheme="minorHAnsi"/>
          <w:noProof/>
          <w:szCs w:val="20"/>
          <w:lang w:val="ro-RO"/>
        </w:rPr>
        <w:t>deplasarea sau manevrarea utilajelor, sculelor, uneltelor (de transport, de pescuit, săpat, etc.) sau a altor elemente de dimensiuni mari care pot atinge conductoarele rețelelor electrice, chiar daca acestea sunt considerate izolante.</w:t>
      </w:r>
    </w:p>
    <w:p w:rsidR="00881193" w:rsidRPr="003D74D4" w:rsidRDefault="00881193" w:rsidP="00881193">
      <w:pPr>
        <w:autoSpaceDE w:val="0"/>
        <w:autoSpaceDN w:val="0"/>
        <w:adjustRightInd w:val="0"/>
        <w:spacing w:line="240" w:lineRule="auto"/>
        <w:rPr>
          <w:rFonts w:cstheme="minorHAnsi"/>
          <w:b/>
          <w:noProof/>
          <w:color w:val="000000"/>
          <w:szCs w:val="20"/>
          <w:lang w:val="ro-RO"/>
        </w:rPr>
      </w:pPr>
    </w:p>
    <w:p w:rsidR="00881193" w:rsidRPr="003D74D4" w:rsidRDefault="003D74D4" w:rsidP="00881193">
      <w:pPr>
        <w:autoSpaceDE w:val="0"/>
        <w:autoSpaceDN w:val="0"/>
        <w:adjustRightInd w:val="0"/>
        <w:spacing w:line="240" w:lineRule="auto"/>
        <w:rPr>
          <w:rFonts w:cstheme="minorHAnsi"/>
          <w:noProof/>
          <w:color w:val="000000"/>
          <w:szCs w:val="20"/>
          <w:lang w:val="ro-RO"/>
        </w:rPr>
      </w:pPr>
      <w:r>
        <w:rPr>
          <w:rFonts w:cstheme="minorHAnsi"/>
          <w:noProof/>
          <w:color w:val="000000"/>
          <w:szCs w:val="20"/>
          <w:lang w:val="ro-RO"/>
        </w:rPr>
        <w:t>Totodată, p</w:t>
      </w:r>
      <w:r w:rsidR="00881193" w:rsidRPr="003D74D4">
        <w:rPr>
          <w:rFonts w:cstheme="minorHAnsi"/>
          <w:noProof/>
          <w:color w:val="000000"/>
          <w:szCs w:val="20"/>
          <w:lang w:val="ro-RO"/>
        </w:rPr>
        <w:t>entru evitarea pericolului pe care îl poate prezenta dezvoltarea vegetaţiei în apropierea liniilor electrice</w:t>
      </w:r>
      <w:r w:rsidR="00881193" w:rsidRPr="003D74D4">
        <w:rPr>
          <w:rFonts w:cstheme="minorHAnsi"/>
          <w:noProof/>
          <w:szCs w:val="20"/>
          <w:lang w:val="ro-RO"/>
        </w:rPr>
        <w:t xml:space="preserve"> recomandăm plantarea ierburilor perene sau acoperirea spaţiului corespunzător cu balast.</w:t>
      </w:r>
    </w:p>
    <w:p w:rsidR="00792E9E" w:rsidRDefault="00792E9E" w:rsidP="00881193">
      <w:pPr>
        <w:spacing w:line="240" w:lineRule="auto"/>
        <w:rPr>
          <w:rFonts w:cstheme="minorHAnsi"/>
          <w:szCs w:val="20"/>
        </w:rPr>
      </w:pPr>
    </w:p>
    <w:p w:rsidR="00E60E9B" w:rsidRDefault="00E60E9B" w:rsidP="00881193">
      <w:pPr>
        <w:spacing w:line="240" w:lineRule="auto"/>
        <w:rPr>
          <w:rFonts w:cstheme="minorHAnsi"/>
          <w:szCs w:val="20"/>
        </w:rPr>
      </w:pPr>
    </w:p>
    <w:p w:rsidR="00E60E9B" w:rsidRDefault="00E60E9B" w:rsidP="00881193">
      <w:pPr>
        <w:spacing w:line="240" w:lineRule="auto"/>
        <w:rPr>
          <w:rFonts w:ascii="Arial" w:hAnsi="Arial" w:cs="Arial"/>
          <w:sz w:val="22"/>
        </w:rPr>
      </w:pPr>
      <w:r w:rsidRPr="00E60E9B">
        <w:rPr>
          <w:rFonts w:cstheme="minorHAnsi"/>
          <w:noProof/>
          <w:szCs w:val="20"/>
          <w:lang w:val="ro-RO"/>
        </w:rPr>
        <w:t>Va multumim pentru intelegere si va asiguram de sincera noastra colaborare</w:t>
      </w:r>
      <w:r>
        <w:rPr>
          <w:rFonts w:ascii="Arial" w:hAnsi="Arial" w:cs="Arial"/>
          <w:sz w:val="22"/>
        </w:rPr>
        <w:t>.</w:t>
      </w:r>
    </w:p>
    <w:p w:rsidR="00E60E9B" w:rsidRPr="00E60E9B" w:rsidRDefault="00E60E9B" w:rsidP="00881193">
      <w:pPr>
        <w:spacing w:line="240" w:lineRule="auto"/>
        <w:rPr>
          <w:rFonts w:ascii="Arial" w:hAnsi="Arial" w:cs="Arial"/>
          <w:sz w:val="22"/>
        </w:rPr>
      </w:pPr>
      <w:r>
        <w:rPr>
          <w:rFonts w:cstheme="minorHAnsi"/>
          <w:szCs w:val="20"/>
        </w:rPr>
        <w:t>Echipa Distributie Oltenia.</w:t>
      </w:r>
    </w:p>
    <w:p w:rsidR="00E60E9B" w:rsidRDefault="00E60E9B" w:rsidP="00881193">
      <w:pPr>
        <w:spacing w:line="240" w:lineRule="auto"/>
        <w:rPr>
          <w:rFonts w:cstheme="minorHAnsi"/>
          <w:szCs w:val="20"/>
        </w:rPr>
      </w:pPr>
    </w:p>
    <w:p w:rsidR="00E60E9B" w:rsidRPr="00881193" w:rsidRDefault="00E60E9B" w:rsidP="00881193">
      <w:pPr>
        <w:spacing w:line="240" w:lineRule="auto"/>
        <w:rPr>
          <w:rFonts w:cstheme="minorHAnsi"/>
          <w:szCs w:val="20"/>
        </w:rPr>
      </w:pPr>
    </w:p>
    <w:sectPr w:rsidR="00E60E9B" w:rsidRPr="00881193" w:rsidSect="00D6487F">
      <w:headerReference w:type="default" r:id="rId9"/>
      <w:footerReference w:type="default" r:id="rId10"/>
      <w:type w:val="continuous"/>
      <w:pgSz w:w="11906" w:h="16838" w:code="9"/>
      <w:pgMar w:top="3119" w:right="1701" w:bottom="2948" w:left="1701" w:header="87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1D" w:rsidRDefault="00CB2D1D" w:rsidP="004010A7">
      <w:pPr>
        <w:spacing w:line="240" w:lineRule="auto"/>
      </w:pPr>
      <w:r>
        <w:separator/>
      </w:r>
    </w:p>
  </w:endnote>
  <w:endnote w:type="continuationSeparator" w:id="0">
    <w:p w:rsidR="00CB2D1D" w:rsidRDefault="00CB2D1D" w:rsidP="004010A7">
      <w:pPr>
        <w:spacing w:line="240" w:lineRule="auto"/>
      </w:pPr>
      <w:r>
        <w:continuationSeparator/>
      </w:r>
    </w:p>
  </w:endnote>
  <w:endnote w:id="1">
    <w:p w:rsidR="00881193" w:rsidRPr="00881193" w:rsidRDefault="00881193">
      <w:pPr>
        <w:pStyle w:val="EndnoteText"/>
        <w:rPr>
          <w:sz w:val="18"/>
          <w:szCs w:val="18"/>
          <w:lang w:val="ro-RO"/>
        </w:rPr>
      </w:pPr>
      <w:r w:rsidRPr="00881193">
        <w:rPr>
          <w:rStyle w:val="EndnoteReference"/>
          <w:sz w:val="18"/>
          <w:szCs w:val="18"/>
        </w:rPr>
        <w:endnoteRef/>
      </w:r>
      <w:r w:rsidRPr="00881193">
        <w:rPr>
          <w:sz w:val="18"/>
          <w:szCs w:val="18"/>
        </w:rPr>
        <w:t xml:space="preserve"> </w:t>
      </w:r>
      <w:r w:rsidRPr="00881193">
        <w:rPr>
          <w:rFonts w:cstheme="minorHAnsi"/>
          <w:sz w:val="18"/>
          <w:szCs w:val="18"/>
          <w:lang w:val="ro-RO"/>
        </w:rPr>
        <w:t>Dispozițiile art. 49 din Legea nr. 123/2012 a energiei electrice și a gazelor naturale</w:t>
      </w:r>
    </w:p>
  </w:endnote>
  <w:endnote w:id="2">
    <w:p w:rsidR="00881193" w:rsidRPr="00881193" w:rsidRDefault="00881193">
      <w:pPr>
        <w:pStyle w:val="EndnoteText"/>
        <w:rPr>
          <w:lang w:val="ro-RO"/>
        </w:rPr>
      </w:pPr>
      <w:r>
        <w:rPr>
          <w:rStyle w:val="EndnoteReference"/>
        </w:rPr>
        <w:endnoteRef/>
      </w:r>
      <w:r>
        <w:t xml:space="preserve"> </w:t>
      </w:r>
      <w:r w:rsidRPr="00881193">
        <w:rPr>
          <w:rFonts w:cstheme="minorHAnsi"/>
          <w:sz w:val="18"/>
          <w:szCs w:val="18"/>
          <w:lang w:val="ro-RO"/>
        </w:rPr>
        <w:t>Potrivit art. 93 pct. 30 din Legea nr. 123/2012 a energiei electrice și a gazelor naturale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margin" w:tblpY="15594"/>
      <w:tblOverlap w:val="never"/>
      <w:tblW w:w="8505" w:type="dxa"/>
      <w:tblBorders>
        <w:top w:val="single" w:sz="12" w:space="0" w:color="94C11F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5386"/>
    </w:tblGrid>
    <w:tr w:rsidR="00D7084C" w:rsidTr="00EB51EE">
      <w:tc>
        <w:tcPr>
          <w:tcW w:w="3119" w:type="dxa"/>
        </w:tcPr>
        <w:p w:rsidR="00D7084C" w:rsidRPr="00EB51EE" w:rsidRDefault="00D7084C" w:rsidP="00EB51EE">
          <w:pPr>
            <w:pStyle w:val="Footer"/>
            <w:rPr>
              <w:b/>
              <w:color w:val="94C11F" w:themeColor="accent1"/>
            </w:rPr>
          </w:pPr>
          <w:r w:rsidRPr="00EB51EE">
            <w:rPr>
              <w:b/>
              <w:color w:val="94C11F" w:themeColor="accent1"/>
            </w:rPr>
            <w:t>Distribuţie Energie Oltenia</w:t>
          </w:r>
        </w:p>
        <w:p w:rsidR="00D7084C" w:rsidRPr="00EB51EE" w:rsidRDefault="00D7084C" w:rsidP="00EB51EE">
          <w:pPr>
            <w:pStyle w:val="Footer"/>
          </w:pPr>
          <w:r w:rsidRPr="00EB51EE">
            <w:t>societate administrată în sistem dualist</w:t>
          </w:r>
        </w:p>
      </w:tc>
      <w:tc>
        <w:tcPr>
          <w:tcW w:w="5387" w:type="dxa"/>
        </w:tcPr>
        <w:p w:rsidR="00D7084C" w:rsidRDefault="00D7084C" w:rsidP="00B72875">
          <w:pPr>
            <w:pStyle w:val="Footer"/>
            <w:contextualSpacing/>
          </w:pPr>
          <w:r w:rsidRPr="00EB51EE">
            <w:t>Str. Calea Severinului, Nr. 97, parter, et. 2, 3, 4 Craiova, Jud. Dolj, România</w:t>
          </w:r>
          <w:r>
            <w:br/>
            <w:t>Fax: +40 251 215 004</w:t>
          </w:r>
          <w:r w:rsidRPr="00EB51EE">
            <w:t xml:space="preserve"> | www.distributieoltenia.ro</w:t>
          </w:r>
          <w:r>
            <w:br/>
          </w:r>
          <w:r w:rsidRPr="00EB51EE">
            <w:t>Cod unic de înregistrare: RO 14491102 | Nr. de înregistrare: J16/148/2002</w:t>
          </w:r>
        </w:p>
      </w:tc>
    </w:tr>
  </w:tbl>
  <w:p w:rsidR="00D7084C" w:rsidRDefault="00D70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1D" w:rsidRDefault="00CB2D1D" w:rsidP="004010A7">
      <w:pPr>
        <w:spacing w:line="240" w:lineRule="auto"/>
      </w:pPr>
      <w:r>
        <w:separator/>
      </w:r>
    </w:p>
  </w:footnote>
  <w:footnote w:type="continuationSeparator" w:id="0">
    <w:p w:rsidR="00CB2D1D" w:rsidRDefault="00CB2D1D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4C" w:rsidRDefault="00D7084C">
    <w:pPr>
      <w:pStyle w:val="Header"/>
    </w:pPr>
    <w:r>
      <w:rPr>
        <w:noProof/>
        <w:lang w:val="en-US"/>
      </w:rPr>
      <w:drawing>
        <wp:inline distT="0" distB="0" distL="0" distR="0">
          <wp:extent cx="2143125" cy="609600"/>
          <wp:effectExtent l="0" t="0" r="9525" b="0"/>
          <wp:docPr id="7" name="Obrázek 7" descr="C:\Users\Jindra\AppData\Local\Microsoft\Windows\INetCacheContent.Word\cez-olte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indra\AppData\Local\Microsoft\Windows\INetCacheContent.Word\cez-olte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9" t="24020" b="24544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2659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6F09ED8" wp14:editId="480AA43A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720000" cy="0"/>
              <wp:effectExtent l="0" t="0" r="2349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0.65pt" to="56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" strokecolor="#94c11f [3204]" strokeweight=".5pt">
              <w10:wrap anchorx="page" anchory="page"/>
            </v:line>
          </w:pict>
        </mc:Fallback>
      </mc:AlternateContent>
    </w:r>
    <w:r w:rsidRPr="00B92659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CB6D943" wp14:editId="3DB9CB2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720000" cy="0"/>
              <wp:effectExtent l="0" t="0" r="2349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3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1.35pt" to="56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" strokecolor="#94c11f [3204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6F3"/>
    <w:multiLevelType w:val="hybridMultilevel"/>
    <w:tmpl w:val="5EE263C6"/>
    <w:lvl w:ilvl="0" w:tplc="33105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633D5"/>
    <w:multiLevelType w:val="multilevel"/>
    <w:tmpl w:val="42AA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B6952"/>
    <w:multiLevelType w:val="multilevel"/>
    <w:tmpl w:val="604EE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C11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75B82"/>
    <w:multiLevelType w:val="hybridMultilevel"/>
    <w:tmpl w:val="B1C4351C"/>
    <w:lvl w:ilvl="0" w:tplc="09D202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C11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93"/>
    <w:rsid w:val="00006D32"/>
    <w:rsid w:val="0000782F"/>
    <w:rsid w:val="0001209A"/>
    <w:rsid w:val="000159CA"/>
    <w:rsid w:val="000160A9"/>
    <w:rsid w:val="00017F95"/>
    <w:rsid w:val="000307A7"/>
    <w:rsid w:val="00030EE2"/>
    <w:rsid w:val="00034863"/>
    <w:rsid w:val="00036AF4"/>
    <w:rsid w:val="00047BBA"/>
    <w:rsid w:val="000550D5"/>
    <w:rsid w:val="00056231"/>
    <w:rsid w:val="00066B3C"/>
    <w:rsid w:val="00067947"/>
    <w:rsid w:val="0007051F"/>
    <w:rsid w:val="000762DD"/>
    <w:rsid w:val="000828AF"/>
    <w:rsid w:val="00096790"/>
    <w:rsid w:val="00097280"/>
    <w:rsid w:val="000A3719"/>
    <w:rsid w:val="000A6761"/>
    <w:rsid w:val="000B7BF2"/>
    <w:rsid w:val="000C0BF3"/>
    <w:rsid w:val="000C5559"/>
    <w:rsid w:val="000D43DE"/>
    <w:rsid w:val="000D5FB4"/>
    <w:rsid w:val="000F57C8"/>
    <w:rsid w:val="00100CE5"/>
    <w:rsid w:val="00114195"/>
    <w:rsid w:val="00114211"/>
    <w:rsid w:val="00125C1C"/>
    <w:rsid w:val="00127028"/>
    <w:rsid w:val="001407B8"/>
    <w:rsid w:val="00141988"/>
    <w:rsid w:val="00152FDC"/>
    <w:rsid w:val="00157BE4"/>
    <w:rsid w:val="00166AE1"/>
    <w:rsid w:val="001707BB"/>
    <w:rsid w:val="001A05B4"/>
    <w:rsid w:val="001A60B5"/>
    <w:rsid w:val="001C274E"/>
    <w:rsid w:val="001C2EE2"/>
    <w:rsid w:val="001D6326"/>
    <w:rsid w:val="001F36FB"/>
    <w:rsid w:val="001F577E"/>
    <w:rsid w:val="001F67CB"/>
    <w:rsid w:val="001F7E57"/>
    <w:rsid w:val="0020710F"/>
    <w:rsid w:val="00213898"/>
    <w:rsid w:val="0021410A"/>
    <w:rsid w:val="00230E37"/>
    <w:rsid w:val="00233DC1"/>
    <w:rsid w:val="0023470A"/>
    <w:rsid w:val="00242A5C"/>
    <w:rsid w:val="0024486A"/>
    <w:rsid w:val="002A61D1"/>
    <w:rsid w:val="002C06B0"/>
    <w:rsid w:val="002C0FE4"/>
    <w:rsid w:val="002C7C69"/>
    <w:rsid w:val="002D0844"/>
    <w:rsid w:val="002D6944"/>
    <w:rsid w:val="002E070B"/>
    <w:rsid w:val="002E6E79"/>
    <w:rsid w:val="002F0477"/>
    <w:rsid w:val="002F4C99"/>
    <w:rsid w:val="002F607F"/>
    <w:rsid w:val="00306670"/>
    <w:rsid w:val="003278E3"/>
    <w:rsid w:val="00333C14"/>
    <w:rsid w:val="00347324"/>
    <w:rsid w:val="003540A9"/>
    <w:rsid w:val="0036013F"/>
    <w:rsid w:val="00364ACC"/>
    <w:rsid w:val="00366CD3"/>
    <w:rsid w:val="00371AC6"/>
    <w:rsid w:val="003770BC"/>
    <w:rsid w:val="00380A5D"/>
    <w:rsid w:val="00380D9D"/>
    <w:rsid w:val="003815E8"/>
    <w:rsid w:val="00383D41"/>
    <w:rsid w:val="00384909"/>
    <w:rsid w:val="00392F09"/>
    <w:rsid w:val="003940BB"/>
    <w:rsid w:val="00397760"/>
    <w:rsid w:val="003A31D5"/>
    <w:rsid w:val="003A56CF"/>
    <w:rsid w:val="003A6B52"/>
    <w:rsid w:val="003B2F42"/>
    <w:rsid w:val="003B41DA"/>
    <w:rsid w:val="003B75DE"/>
    <w:rsid w:val="003C21C3"/>
    <w:rsid w:val="003C23D0"/>
    <w:rsid w:val="003C3AB9"/>
    <w:rsid w:val="003C7672"/>
    <w:rsid w:val="003D27B5"/>
    <w:rsid w:val="003D2E57"/>
    <w:rsid w:val="003D74D4"/>
    <w:rsid w:val="003E216D"/>
    <w:rsid w:val="003F2023"/>
    <w:rsid w:val="004010A7"/>
    <w:rsid w:val="004062AA"/>
    <w:rsid w:val="0041432A"/>
    <w:rsid w:val="00416071"/>
    <w:rsid w:val="00432321"/>
    <w:rsid w:val="00432805"/>
    <w:rsid w:val="00433987"/>
    <w:rsid w:val="00451539"/>
    <w:rsid w:val="0047113A"/>
    <w:rsid w:val="00482BAA"/>
    <w:rsid w:val="00485C5E"/>
    <w:rsid w:val="004A2BDC"/>
    <w:rsid w:val="004A4772"/>
    <w:rsid w:val="004A5B59"/>
    <w:rsid w:val="004B2545"/>
    <w:rsid w:val="004D0F0A"/>
    <w:rsid w:val="004E26C0"/>
    <w:rsid w:val="004E42D9"/>
    <w:rsid w:val="004E4329"/>
    <w:rsid w:val="004E556B"/>
    <w:rsid w:val="004F787D"/>
    <w:rsid w:val="00500773"/>
    <w:rsid w:val="00503544"/>
    <w:rsid w:val="00504A1D"/>
    <w:rsid w:val="005068EB"/>
    <w:rsid w:val="0052344F"/>
    <w:rsid w:val="00524536"/>
    <w:rsid w:val="00532492"/>
    <w:rsid w:val="00537D48"/>
    <w:rsid w:val="00542302"/>
    <w:rsid w:val="0055793C"/>
    <w:rsid w:val="0056025B"/>
    <w:rsid w:val="00563241"/>
    <w:rsid w:val="00565CD9"/>
    <w:rsid w:val="00596D27"/>
    <w:rsid w:val="005A6706"/>
    <w:rsid w:val="005A744D"/>
    <w:rsid w:val="005B7F27"/>
    <w:rsid w:val="005C2449"/>
    <w:rsid w:val="005D0347"/>
    <w:rsid w:val="005D55C3"/>
    <w:rsid w:val="005E30D4"/>
    <w:rsid w:val="005E5A06"/>
    <w:rsid w:val="005F472B"/>
    <w:rsid w:val="0060305C"/>
    <w:rsid w:val="00603DAE"/>
    <w:rsid w:val="00607A9F"/>
    <w:rsid w:val="00607FE9"/>
    <w:rsid w:val="00652C93"/>
    <w:rsid w:val="00667C0C"/>
    <w:rsid w:val="00674FF1"/>
    <w:rsid w:val="00676EDA"/>
    <w:rsid w:val="00677466"/>
    <w:rsid w:val="00694A0A"/>
    <w:rsid w:val="00697655"/>
    <w:rsid w:val="00697B9D"/>
    <w:rsid w:val="006A4647"/>
    <w:rsid w:val="006A5CDA"/>
    <w:rsid w:val="006C0D09"/>
    <w:rsid w:val="006C4FF1"/>
    <w:rsid w:val="006E083E"/>
    <w:rsid w:val="006E30A4"/>
    <w:rsid w:val="006E6177"/>
    <w:rsid w:val="006F0A80"/>
    <w:rsid w:val="006F3531"/>
    <w:rsid w:val="00701531"/>
    <w:rsid w:val="0070653E"/>
    <w:rsid w:val="007146F4"/>
    <w:rsid w:val="00723EAD"/>
    <w:rsid w:val="00725BA3"/>
    <w:rsid w:val="007310A8"/>
    <w:rsid w:val="00757C55"/>
    <w:rsid w:val="00766E50"/>
    <w:rsid w:val="007844E4"/>
    <w:rsid w:val="007856C6"/>
    <w:rsid w:val="00785AAB"/>
    <w:rsid w:val="00787207"/>
    <w:rsid w:val="007902E4"/>
    <w:rsid w:val="00792E9E"/>
    <w:rsid w:val="007B1962"/>
    <w:rsid w:val="007B2AA8"/>
    <w:rsid w:val="007C4EE3"/>
    <w:rsid w:val="007F11F0"/>
    <w:rsid w:val="0080339B"/>
    <w:rsid w:val="0080626D"/>
    <w:rsid w:val="00823FF3"/>
    <w:rsid w:val="00825683"/>
    <w:rsid w:val="008276F4"/>
    <w:rsid w:val="00831D50"/>
    <w:rsid w:val="00833480"/>
    <w:rsid w:val="00833ABF"/>
    <w:rsid w:val="008368F1"/>
    <w:rsid w:val="00842F1B"/>
    <w:rsid w:val="00860994"/>
    <w:rsid w:val="0086680D"/>
    <w:rsid w:val="00870FE3"/>
    <w:rsid w:val="0087399B"/>
    <w:rsid w:val="00880408"/>
    <w:rsid w:val="00881193"/>
    <w:rsid w:val="00881C14"/>
    <w:rsid w:val="0088365C"/>
    <w:rsid w:val="008E7A36"/>
    <w:rsid w:val="008F133F"/>
    <w:rsid w:val="008F23FA"/>
    <w:rsid w:val="0092272A"/>
    <w:rsid w:val="00922DD9"/>
    <w:rsid w:val="0092707D"/>
    <w:rsid w:val="00930A69"/>
    <w:rsid w:val="009310E2"/>
    <w:rsid w:val="00940F67"/>
    <w:rsid w:val="009621A9"/>
    <w:rsid w:val="00973DB2"/>
    <w:rsid w:val="00981404"/>
    <w:rsid w:val="009824E8"/>
    <w:rsid w:val="00983BBB"/>
    <w:rsid w:val="009B3C76"/>
    <w:rsid w:val="009B7C14"/>
    <w:rsid w:val="009B7DAA"/>
    <w:rsid w:val="009C5AA8"/>
    <w:rsid w:val="009D0879"/>
    <w:rsid w:val="009F422E"/>
    <w:rsid w:val="00A03652"/>
    <w:rsid w:val="00A059E6"/>
    <w:rsid w:val="00A07944"/>
    <w:rsid w:val="00A132F9"/>
    <w:rsid w:val="00A13B4C"/>
    <w:rsid w:val="00A17BDE"/>
    <w:rsid w:val="00A25BBB"/>
    <w:rsid w:val="00A26235"/>
    <w:rsid w:val="00A266AB"/>
    <w:rsid w:val="00A32785"/>
    <w:rsid w:val="00A40C58"/>
    <w:rsid w:val="00A51C2E"/>
    <w:rsid w:val="00A5412B"/>
    <w:rsid w:val="00A559FD"/>
    <w:rsid w:val="00A57624"/>
    <w:rsid w:val="00A673AC"/>
    <w:rsid w:val="00A84345"/>
    <w:rsid w:val="00A93D7D"/>
    <w:rsid w:val="00A978CB"/>
    <w:rsid w:val="00AA4698"/>
    <w:rsid w:val="00AD18A9"/>
    <w:rsid w:val="00AD522B"/>
    <w:rsid w:val="00AE6164"/>
    <w:rsid w:val="00AF3323"/>
    <w:rsid w:val="00AF64A1"/>
    <w:rsid w:val="00AF6E84"/>
    <w:rsid w:val="00B01461"/>
    <w:rsid w:val="00B317DF"/>
    <w:rsid w:val="00B42498"/>
    <w:rsid w:val="00B43891"/>
    <w:rsid w:val="00B54DE0"/>
    <w:rsid w:val="00B63060"/>
    <w:rsid w:val="00B634D8"/>
    <w:rsid w:val="00B64223"/>
    <w:rsid w:val="00B67D20"/>
    <w:rsid w:val="00B72875"/>
    <w:rsid w:val="00B73C81"/>
    <w:rsid w:val="00B92659"/>
    <w:rsid w:val="00BA6DF4"/>
    <w:rsid w:val="00BC0204"/>
    <w:rsid w:val="00BC4359"/>
    <w:rsid w:val="00BD0426"/>
    <w:rsid w:val="00BD3915"/>
    <w:rsid w:val="00BD4798"/>
    <w:rsid w:val="00BE37FD"/>
    <w:rsid w:val="00BE7403"/>
    <w:rsid w:val="00BF6F63"/>
    <w:rsid w:val="00C2098F"/>
    <w:rsid w:val="00C22ADE"/>
    <w:rsid w:val="00C31C96"/>
    <w:rsid w:val="00C3516E"/>
    <w:rsid w:val="00C40B3C"/>
    <w:rsid w:val="00C42999"/>
    <w:rsid w:val="00C42CBB"/>
    <w:rsid w:val="00C621E2"/>
    <w:rsid w:val="00C63311"/>
    <w:rsid w:val="00C7182E"/>
    <w:rsid w:val="00C84DC1"/>
    <w:rsid w:val="00C9008E"/>
    <w:rsid w:val="00C93972"/>
    <w:rsid w:val="00CA2C25"/>
    <w:rsid w:val="00CB2D1D"/>
    <w:rsid w:val="00CB6AF1"/>
    <w:rsid w:val="00CC0F09"/>
    <w:rsid w:val="00CC50C6"/>
    <w:rsid w:val="00CE0812"/>
    <w:rsid w:val="00CE6775"/>
    <w:rsid w:val="00CF5BBE"/>
    <w:rsid w:val="00D05FF6"/>
    <w:rsid w:val="00D117E6"/>
    <w:rsid w:val="00D12333"/>
    <w:rsid w:val="00D12660"/>
    <w:rsid w:val="00D1602C"/>
    <w:rsid w:val="00D16E0C"/>
    <w:rsid w:val="00D20B4A"/>
    <w:rsid w:val="00D24008"/>
    <w:rsid w:val="00D2764A"/>
    <w:rsid w:val="00D32203"/>
    <w:rsid w:val="00D4020F"/>
    <w:rsid w:val="00D54EBA"/>
    <w:rsid w:val="00D551C2"/>
    <w:rsid w:val="00D574A7"/>
    <w:rsid w:val="00D6487F"/>
    <w:rsid w:val="00D7084C"/>
    <w:rsid w:val="00D87ACC"/>
    <w:rsid w:val="00DA7E12"/>
    <w:rsid w:val="00DB3C7F"/>
    <w:rsid w:val="00DB417A"/>
    <w:rsid w:val="00DC1806"/>
    <w:rsid w:val="00DC5184"/>
    <w:rsid w:val="00DD27CA"/>
    <w:rsid w:val="00DE6098"/>
    <w:rsid w:val="00DF2AB3"/>
    <w:rsid w:val="00DF2BE3"/>
    <w:rsid w:val="00DF3F70"/>
    <w:rsid w:val="00DF44F9"/>
    <w:rsid w:val="00DF491C"/>
    <w:rsid w:val="00E04268"/>
    <w:rsid w:val="00E10479"/>
    <w:rsid w:val="00E217C8"/>
    <w:rsid w:val="00E2668D"/>
    <w:rsid w:val="00E315E3"/>
    <w:rsid w:val="00E334DA"/>
    <w:rsid w:val="00E56F67"/>
    <w:rsid w:val="00E60E9B"/>
    <w:rsid w:val="00E65D41"/>
    <w:rsid w:val="00E67660"/>
    <w:rsid w:val="00E85541"/>
    <w:rsid w:val="00E93946"/>
    <w:rsid w:val="00E93F4B"/>
    <w:rsid w:val="00E9465D"/>
    <w:rsid w:val="00EA2759"/>
    <w:rsid w:val="00EB51EE"/>
    <w:rsid w:val="00ED42A1"/>
    <w:rsid w:val="00ED4448"/>
    <w:rsid w:val="00EE061A"/>
    <w:rsid w:val="00EE11D4"/>
    <w:rsid w:val="00EE5214"/>
    <w:rsid w:val="00EF6743"/>
    <w:rsid w:val="00F03350"/>
    <w:rsid w:val="00F104D2"/>
    <w:rsid w:val="00F163FF"/>
    <w:rsid w:val="00F16777"/>
    <w:rsid w:val="00F23A3A"/>
    <w:rsid w:val="00F367CB"/>
    <w:rsid w:val="00F36A95"/>
    <w:rsid w:val="00F41BBC"/>
    <w:rsid w:val="00F76F4C"/>
    <w:rsid w:val="00F82FED"/>
    <w:rsid w:val="00FA2F8D"/>
    <w:rsid w:val="00FA3BD8"/>
    <w:rsid w:val="00FB3A05"/>
    <w:rsid w:val="00FB464D"/>
    <w:rsid w:val="00FC3A34"/>
    <w:rsid w:val="00FC3DA6"/>
    <w:rsid w:val="00FC5BA7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93"/>
    <w:pPr>
      <w:spacing w:after="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4F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94C11F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4F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94C11F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4F9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94C11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11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64223"/>
    <w:rPr>
      <w:color w:val="008F3A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3C3AB9"/>
    <w:pPr>
      <w:tabs>
        <w:tab w:val="center" w:pos="4536"/>
        <w:tab w:val="right" w:pos="9072"/>
      </w:tabs>
      <w:spacing w:line="200" w:lineRule="atLeast"/>
    </w:pPr>
    <w:rPr>
      <w:sz w:val="1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C3AB9"/>
    <w:rPr>
      <w:sz w:val="14"/>
      <w:lang w:val="ro-RO"/>
    </w:rPr>
  </w:style>
  <w:style w:type="character" w:styleId="Hyperlink">
    <w:name w:val="Hyperlink"/>
    <w:basedOn w:val="DefaultParagraphFont"/>
    <w:uiPriority w:val="99"/>
    <w:unhideWhenUsed/>
    <w:rsid w:val="004010A7"/>
    <w:rPr>
      <w:color w:val="008F3A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44F9"/>
    <w:rPr>
      <w:rFonts w:asciiTheme="majorHAnsi" w:eastAsiaTheme="majorEastAsia" w:hAnsiTheme="majorHAnsi" w:cstheme="majorBidi"/>
      <w:b/>
      <w:bCs/>
      <w:color w:val="94C11F" w:themeColor="accen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4F9"/>
    <w:rPr>
      <w:rFonts w:asciiTheme="majorHAnsi" w:eastAsiaTheme="majorEastAsia" w:hAnsiTheme="majorHAnsi" w:cstheme="majorBidi"/>
      <w:b/>
      <w:bCs/>
      <w:color w:val="94C11F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44F9"/>
    <w:rPr>
      <w:rFonts w:asciiTheme="majorHAnsi" w:eastAsiaTheme="majorEastAsia" w:hAnsiTheme="majorHAnsi" w:cstheme="majorBidi"/>
      <w:b/>
      <w:bCs/>
      <w:color w:val="94C11F" w:themeColor="accent1"/>
      <w:sz w:val="20"/>
    </w:rPr>
  </w:style>
  <w:style w:type="table" w:styleId="TableGrid">
    <w:name w:val="Table Grid"/>
    <w:basedOn w:val="TableNormal"/>
    <w:uiPriority w:val="59"/>
    <w:rsid w:val="00DB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1"/>
    <w:qFormat/>
    <w:rsid w:val="00D87ACC"/>
    <w:rPr>
      <w:b/>
      <w:bCs/>
    </w:rPr>
  </w:style>
  <w:style w:type="character" w:styleId="Emphasis">
    <w:name w:val="Emphasis"/>
    <w:uiPriority w:val="2"/>
    <w:qFormat/>
    <w:rsid w:val="00D87ACC"/>
    <w:rPr>
      <w:i/>
      <w:iCs/>
    </w:rPr>
  </w:style>
  <w:style w:type="paragraph" w:styleId="Title">
    <w:name w:val="Title"/>
    <w:basedOn w:val="Normal"/>
    <w:next w:val="Normal"/>
    <w:link w:val="TitleChar"/>
    <w:uiPriority w:val="13"/>
    <w:qFormat/>
    <w:rsid w:val="000550D5"/>
    <w:pPr>
      <w:pBdr>
        <w:bottom w:val="single" w:sz="4" w:space="4" w:color="94C11F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color w:val="008F3A" w:themeColor="accent2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3D27B5"/>
    <w:rPr>
      <w:rFonts w:asciiTheme="majorHAnsi" w:eastAsiaTheme="majorEastAsia" w:hAnsiTheme="majorHAnsi" w:cstheme="majorBidi"/>
      <w:color w:val="008F3A" w:themeColor="accent2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4"/>
    <w:qFormat/>
    <w:rsid w:val="003D27B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F3A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4"/>
    <w:rsid w:val="003D27B5"/>
    <w:rPr>
      <w:rFonts w:asciiTheme="majorHAnsi" w:eastAsiaTheme="majorEastAsia" w:hAnsiTheme="majorHAnsi" w:cstheme="majorBidi"/>
      <w:i/>
      <w:iCs/>
      <w:color w:val="008F3A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94C11F" w:themeColor="accent1"/>
      <w:sz w:val="20"/>
    </w:rPr>
  </w:style>
  <w:style w:type="paragraph" w:styleId="NoSpacing">
    <w:name w:val="No Spacing"/>
    <w:next w:val="Normal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rsid w:val="00E2668D"/>
    <w:rPr>
      <w:b/>
      <w:i/>
    </w:rPr>
  </w:style>
  <w:style w:type="character" w:styleId="PlaceholderText">
    <w:name w:val="Placeholder Text"/>
    <w:basedOn w:val="DefaultParagraphFont"/>
    <w:uiPriority w:val="99"/>
    <w:semiHidden/>
    <w:rsid w:val="004E4329"/>
    <w:rPr>
      <w:color w:val="808080"/>
    </w:rPr>
  </w:style>
  <w:style w:type="paragraph" w:styleId="ListParagraph">
    <w:name w:val="List Paragraph"/>
    <w:basedOn w:val="Normal"/>
    <w:uiPriority w:val="34"/>
    <w:rsid w:val="008811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8119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11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11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93"/>
    <w:pPr>
      <w:spacing w:after="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4F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94C11F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4F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94C11F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4F9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94C11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11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64223"/>
    <w:rPr>
      <w:color w:val="008F3A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3C3AB9"/>
    <w:pPr>
      <w:tabs>
        <w:tab w:val="center" w:pos="4536"/>
        <w:tab w:val="right" w:pos="9072"/>
      </w:tabs>
      <w:spacing w:line="200" w:lineRule="atLeast"/>
    </w:pPr>
    <w:rPr>
      <w:sz w:val="1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C3AB9"/>
    <w:rPr>
      <w:sz w:val="14"/>
      <w:lang w:val="ro-RO"/>
    </w:rPr>
  </w:style>
  <w:style w:type="character" w:styleId="Hyperlink">
    <w:name w:val="Hyperlink"/>
    <w:basedOn w:val="DefaultParagraphFont"/>
    <w:uiPriority w:val="99"/>
    <w:unhideWhenUsed/>
    <w:rsid w:val="004010A7"/>
    <w:rPr>
      <w:color w:val="008F3A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44F9"/>
    <w:rPr>
      <w:rFonts w:asciiTheme="majorHAnsi" w:eastAsiaTheme="majorEastAsia" w:hAnsiTheme="majorHAnsi" w:cstheme="majorBidi"/>
      <w:b/>
      <w:bCs/>
      <w:color w:val="94C11F" w:themeColor="accen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44F9"/>
    <w:rPr>
      <w:rFonts w:asciiTheme="majorHAnsi" w:eastAsiaTheme="majorEastAsia" w:hAnsiTheme="majorHAnsi" w:cstheme="majorBidi"/>
      <w:b/>
      <w:bCs/>
      <w:color w:val="94C11F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44F9"/>
    <w:rPr>
      <w:rFonts w:asciiTheme="majorHAnsi" w:eastAsiaTheme="majorEastAsia" w:hAnsiTheme="majorHAnsi" w:cstheme="majorBidi"/>
      <w:b/>
      <w:bCs/>
      <w:color w:val="94C11F" w:themeColor="accent1"/>
      <w:sz w:val="20"/>
    </w:rPr>
  </w:style>
  <w:style w:type="table" w:styleId="TableGrid">
    <w:name w:val="Table Grid"/>
    <w:basedOn w:val="TableNormal"/>
    <w:uiPriority w:val="59"/>
    <w:rsid w:val="00DB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1"/>
    <w:qFormat/>
    <w:rsid w:val="00D87ACC"/>
    <w:rPr>
      <w:b/>
      <w:bCs/>
    </w:rPr>
  </w:style>
  <w:style w:type="character" w:styleId="Emphasis">
    <w:name w:val="Emphasis"/>
    <w:uiPriority w:val="2"/>
    <w:qFormat/>
    <w:rsid w:val="00D87ACC"/>
    <w:rPr>
      <w:i/>
      <w:iCs/>
    </w:rPr>
  </w:style>
  <w:style w:type="paragraph" w:styleId="Title">
    <w:name w:val="Title"/>
    <w:basedOn w:val="Normal"/>
    <w:next w:val="Normal"/>
    <w:link w:val="TitleChar"/>
    <w:uiPriority w:val="13"/>
    <w:qFormat/>
    <w:rsid w:val="000550D5"/>
    <w:pPr>
      <w:pBdr>
        <w:bottom w:val="single" w:sz="4" w:space="4" w:color="94C11F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color w:val="008F3A" w:themeColor="accent2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3D27B5"/>
    <w:rPr>
      <w:rFonts w:asciiTheme="majorHAnsi" w:eastAsiaTheme="majorEastAsia" w:hAnsiTheme="majorHAnsi" w:cstheme="majorBidi"/>
      <w:color w:val="008F3A" w:themeColor="accent2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4"/>
    <w:qFormat/>
    <w:rsid w:val="003D27B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F3A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4"/>
    <w:rsid w:val="003D27B5"/>
    <w:rPr>
      <w:rFonts w:asciiTheme="majorHAnsi" w:eastAsiaTheme="majorEastAsia" w:hAnsiTheme="majorHAnsi" w:cstheme="majorBidi"/>
      <w:i/>
      <w:iCs/>
      <w:color w:val="008F3A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94C11F" w:themeColor="accent1"/>
      <w:sz w:val="20"/>
    </w:rPr>
  </w:style>
  <w:style w:type="paragraph" w:styleId="NoSpacing">
    <w:name w:val="No Spacing"/>
    <w:next w:val="Normal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rsid w:val="00E2668D"/>
    <w:rPr>
      <w:b/>
      <w:i/>
    </w:rPr>
  </w:style>
  <w:style w:type="character" w:styleId="PlaceholderText">
    <w:name w:val="Placeholder Text"/>
    <w:basedOn w:val="DefaultParagraphFont"/>
    <w:uiPriority w:val="99"/>
    <w:semiHidden/>
    <w:rsid w:val="004E4329"/>
    <w:rPr>
      <w:color w:val="808080"/>
    </w:rPr>
  </w:style>
  <w:style w:type="paragraph" w:styleId="ListParagraph">
    <w:name w:val="List Paragraph"/>
    <w:basedOn w:val="Normal"/>
    <w:uiPriority w:val="34"/>
    <w:rsid w:val="008811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8119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11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1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mona.nicola\Template\2017\template-uri\DO_template%20adresa%20autoritati.dotx" TargetMode="External"/></Relationships>
</file>

<file path=word/theme/theme1.xml><?xml version="1.0" encoding="utf-8"?>
<a:theme xmlns:a="http://schemas.openxmlformats.org/drawingml/2006/main" name="Motiv systému Office">
  <a:themeElements>
    <a:clrScheme name="Oltenia">
      <a:dk1>
        <a:srgbClr val="000000"/>
      </a:dk1>
      <a:lt1>
        <a:srgbClr val="FFFFFF"/>
      </a:lt1>
      <a:dk2>
        <a:srgbClr val="008F3A"/>
      </a:dk2>
      <a:lt2>
        <a:srgbClr val="878787"/>
      </a:lt2>
      <a:accent1>
        <a:srgbClr val="94C11F"/>
      </a:accent1>
      <a:accent2>
        <a:srgbClr val="008F3A"/>
      </a:accent2>
      <a:accent3>
        <a:srgbClr val="878787"/>
      </a:accent3>
      <a:accent4>
        <a:srgbClr val="CAE08F"/>
      </a:accent4>
      <a:accent5>
        <a:srgbClr val="C6C6C6"/>
      </a:accent5>
      <a:accent6>
        <a:srgbClr val="EAF3D2"/>
      </a:accent6>
      <a:hlink>
        <a:srgbClr val="008F3A"/>
      </a:hlink>
      <a:folHlink>
        <a:srgbClr val="008F3A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8453-912C-4F4F-BED0-813A9FF8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DO_template adresa autoritati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2018-07-13T09:10:00Z</dcterms:created>
  <dcterms:modified xsi:type="dcterms:W3CDTF">2018-07-17T07:20:00Z</dcterms:modified>
</cp:coreProperties>
</file>